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D8FF8" w14:textId="77777777" w:rsidR="005B44E6" w:rsidRDefault="005B44E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7A38D044" w14:textId="77777777" w:rsidR="005B44E6" w:rsidRDefault="005B44E6">
      <w:pPr>
        <w:pStyle w:val="ConsPlusNormal"/>
        <w:jc w:val="both"/>
        <w:outlineLvl w:val="0"/>
      </w:pPr>
    </w:p>
    <w:p w14:paraId="709AC33A" w14:textId="77777777" w:rsidR="005B44E6" w:rsidRDefault="005B44E6">
      <w:pPr>
        <w:pStyle w:val="ConsPlusTitle"/>
        <w:jc w:val="center"/>
      </w:pPr>
      <w:r>
        <w:t>МИНИСТЕРСТВО СТРОИТЕЛЬСТВА И ЖИЛИЩНО-КОММУНАЛЬНОГО</w:t>
      </w:r>
    </w:p>
    <w:p w14:paraId="7C407217" w14:textId="77777777" w:rsidR="005B44E6" w:rsidRDefault="005B44E6">
      <w:pPr>
        <w:pStyle w:val="ConsPlusTitle"/>
        <w:jc w:val="center"/>
      </w:pPr>
      <w:r>
        <w:t>ХОЗЯЙСТВА РОССИЙСКОЙ ФЕДЕРАЦИИ</w:t>
      </w:r>
    </w:p>
    <w:p w14:paraId="4F65DD75" w14:textId="77777777" w:rsidR="005B44E6" w:rsidRDefault="005B44E6">
      <w:pPr>
        <w:pStyle w:val="ConsPlusTitle"/>
        <w:jc w:val="center"/>
      </w:pPr>
    </w:p>
    <w:p w14:paraId="11EDAA26" w14:textId="77777777" w:rsidR="005B44E6" w:rsidRDefault="005B44E6">
      <w:pPr>
        <w:pStyle w:val="ConsPlusTitle"/>
        <w:jc w:val="center"/>
      </w:pPr>
      <w:r>
        <w:t>ПИСЬМО</w:t>
      </w:r>
    </w:p>
    <w:p w14:paraId="65A522B5" w14:textId="77777777" w:rsidR="005B44E6" w:rsidRDefault="005B44E6">
      <w:pPr>
        <w:pStyle w:val="ConsPlusTitle"/>
        <w:jc w:val="center"/>
      </w:pPr>
      <w:r>
        <w:t>от 7 ноября 2019 г. N 42047-СН/04</w:t>
      </w:r>
    </w:p>
    <w:p w14:paraId="0B316EB8" w14:textId="77777777" w:rsidR="005B44E6" w:rsidRDefault="005B44E6">
      <w:pPr>
        <w:pStyle w:val="ConsPlusNormal"/>
        <w:jc w:val="both"/>
      </w:pPr>
    </w:p>
    <w:p w14:paraId="02715114" w14:textId="77777777" w:rsidR="005B44E6" w:rsidRDefault="005B44E6">
      <w:pPr>
        <w:pStyle w:val="ConsPlusNormal"/>
        <w:ind w:firstLine="540"/>
        <w:jc w:val="both"/>
      </w:pPr>
      <w:r>
        <w:t>В дополнение к ранее направленному письму от 19 сентября 2019 г. N 34826-СН/04 Департамент развития жилищно-коммунального хозяйства Министерства строительства и жилищно-коммунального хозяйства Российской Федерации поясняет следующее.</w:t>
      </w:r>
    </w:p>
    <w:p w14:paraId="504023A3" w14:textId="77777777" w:rsidR="005B44E6" w:rsidRDefault="005B44E6">
      <w:pPr>
        <w:pStyle w:val="ConsPlusNormal"/>
        <w:spacing w:before="220"/>
        <w:ind w:firstLine="540"/>
        <w:jc w:val="both"/>
      </w:pPr>
      <w:r>
        <w:t xml:space="preserve">Для расчета размера платы за коммунальную услугу по отоплению, предоставленную за расчетный период в жилом или нежилом помещении, оборудованном индивидуальным (квартирным) прибором учета (далее - ИПУ) тепловой энергии в многоквартирном доме (далее - МКД), в котором прибор учета тепловой энергии установлен на оборудовании, входящем в состав общего имущества в МКД (далее - ОДПУ), с использованием которого была произведена коммунальная услуга по отоплению, и ИПУ тепловой энергии установлены во всех жилых и нежилых помещениях в МКД, применяется </w:t>
      </w:r>
      <w:hyperlink r:id="rId5" w:history="1">
        <w:r>
          <w:rPr>
            <w:color w:val="0000FF"/>
          </w:rPr>
          <w:t>формула 18.1</w:t>
        </w:r>
      </w:hyperlink>
      <w:r>
        <w:t xml:space="preserve"> Приложения 2 к Правилам предоставления коммунальных услуг собственникам и пользователям помещений в многоквартирных домах и жилых домов, утвержденным постановлением Правительства Российской Федерации от 6 мая 2011 г. N 354 (далее - Правила 354). В указанной формуле применяется удельный расход коммунального ресурса на производство тепловой энергии в целях предоставления коммунальной услуги по отоплению, который рассчитывается по </w:t>
      </w:r>
      <w:hyperlink r:id="rId6" w:history="1">
        <w:r>
          <w:rPr>
            <w:color w:val="0000FF"/>
          </w:rPr>
          <w:t>формуле 18.2</w:t>
        </w:r>
      </w:hyperlink>
      <w:r>
        <w:t xml:space="preserve"> Приложения 2 к Правилам 354.</w:t>
      </w:r>
    </w:p>
    <w:p w14:paraId="47A406F9" w14:textId="77777777" w:rsidR="005B44E6" w:rsidRDefault="005B44E6">
      <w:pPr>
        <w:pStyle w:val="ConsPlusNormal"/>
        <w:spacing w:before="220"/>
        <w:ind w:firstLine="540"/>
        <w:jc w:val="both"/>
      </w:pPr>
      <w:r>
        <w:t xml:space="preserve">В </w:t>
      </w:r>
      <w:hyperlink r:id="rId7" w:history="1">
        <w:r>
          <w:rPr>
            <w:color w:val="0000FF"/>
          </w:rPr>
          <w:t>формуле 18.2</w:t>
        </w:r>
      </w:hyperlink>
      <w:r>
        <w:t xml:space="preserve"> применяется величина </w:t>
      </w:r>
      <w:r w:rsidRPr="00966FE2">
        <w:rPr>
          <w:position w:val="-9"/>
        </w:rPr>
        <w:pict w14:anchorId="260F35E9">
          <v:shape id="_x0000_i1025" style="width:20.4pt;height:20.4pt" coordsize="" o:spt="100" adj="0,,0" path="" filled="f" stroked="f">
            <v:stroke joinstyle="miter"/>
            <v:imagedata r:id="rId8" o:title="base_1_338279_32768"/>
            <v:formulas/>
            <v:path o:connecttype="segments"/>
          </v:shape>
        </w:pict>
      </w:r>
      <w:r>
        <w:t xml:space="preserve">, определенная как объем коммунального ресурса, использованного за расчетный период при производстве коммунальной услуги по отоплению. Определение к </w:t>
      </w:r>
      <w:hyperlink r:id="rId9" w:history="1">
        <w:r>
          <w:rPr>
            <w:color w:val="0000FF"/>
          </w:rPr>
          <w:t>формуле 18.2</w:t>
        </w:r>
      </w:hyperlink>
      <w:r>
        <w:t xml:space="preserve"> также содержит ссылку на </w:t>
      </w:r>
      <w:hyperlink r:id="rId10" w:history="1">
        <w:r>
          <w:rPr>
            <w:color w:val="0000FF"/>
          </w:rPr>
          <w:t>пункт 54</w:t>
        </w:r>
      </w:hyperlink>
      <w:r>
        <w:t xml:space="preserve"> Правил 354, который подлежит применению при определении величин, использованных в формуле.</w:t>
      </w:r>
    </w:p>
    <w:p w14:paraId="7AAC585E" w14:textId="77777777" w:rsidR="005B44E6" w:rsidRDefault="005B44E6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Пункт 54</w:t>
        </w:r>
      </w:hyperlink>
      <w:r>
        <w:t xml:space="preserve"> Правил 354 устанавливает, что размер платы за коммунальную услугу рассчитывается исходя из объема коммунального ресурса, "использованного в течение расчетного периода при производстве коммунальной услуги по отоплению и (или) горячему водоснабжению". Приведенной нормой установлена необходимость учитывать при расчете удельного расхода коммунального ресурса на производство тепловой энергии в целях предоставления коммунальной услуги по отоплению фактическую ситуацию, а именно: используется ли указанный коммунальный ресурс исключительно для производства теплоэнергии в целях отопления, либо используется для производства теплоэнергии, потребляемой и в целях отопления, и в целях подогрева воды для горячего водоснабжения (далее - ГВС).</w:t>
      </w:r>
    </w:p>
    <w:p w14:paraId="40C70D27" w14:textId="77777777" w:rsidR="005B44E6" w:rsidRDefault="005B44E6">
      <w:pPr>
        <w:pStyle w:val="ConsPlusNormal"/>
        <w:spacing w:before="220"/>
        <w:ind w:firstLine="540"/>
        <w:jc w:val="both"/>
      </w:pPr>
      <w:r>
        <w:t xml:space="preserve">Таким образом, в качестве </w:t>
      </w:r>
      <w:r w:rsidRPr="00966FE2">
        <w:rPr>
          <w:position w:val="-9"/>
        </w:rPr>
        <w:pict w14:anchorId="309404CF">
          <v:shape id="_x0000_i1026" style="width:20.4pt;height:20.4pt" coordsize="" o:spt="100" adj="0,,0" path="" filled="f" stroked="f">
            <v:stroke joinstyle="miter"/>
            <v:imagedata r:id="rId8" o:title="base_1_338279_32769"/>
            <v:formulas/>
            <v:path o:connecttype="segments"/>
          </v:shape>
        </w:pict>
      </w:r>
      <w:r>
        <w:t xml:space="preserve"> в </w:t>
      </w:r>
      <w:hyperlink r:id="rId12" w:history="1">
        <w:r>
          <w:rPr>
            <w:color w:val="0000FF"/>
          </w:rPr>
          <w:t>формуле 18.2</w:t>
        </w:r>
      </w:hyperlink>
      <w:r>
        <w:t xml:space="preserve"> Правил 354 используется весь объем коммунального ресурса, затраченного в оборудовании для производства тепловой энергии, независимо от того, использована ли произведенная теплоэнергия исключительно на нужды отопления или использована как на отопление, так и на подогрев воды в целях ГВС. При наличии прибора учета, фиксирующего объем коммунального ресурса, использованного на производство тепловой энергии, </w:t>
      </w:r>
      <w:r w:rsidRPr="00966FE2">
        <w:rPr>
          <w:position w:val="-9"/>
        </w:rPr>
        <w:pict w14:anchorId="398958E2">
          <v:shape id="_x0000_i1027" style="width:20.4pt;height:20.4pt" coordsize="" o:spt="100" adj="0,,0" path="" filled="f" stroked="f">
            <v:stroke joinstyle="miter"/>
            <v:imagedata r:id="rId8" o:title="base_1_338279_32770"/>
            <v:formulas/>
            <v:path o:connecttype="segments"/>
          </v:shape>
        </w:pict>
      </w:r>
      <w:r>
        <w:t xml:space="preserve"> определяется по показаниям этого прибора.</w:t>
      </w:r>
    </w:p>
    <w:p w14:paraId="2F506683" w14:textId="77777777" w:rsidR="005B44E6" w:rsidRDefault="005B44E6">
      <w:pPr>
        <w:pStyle w:val="ConsPlusNormal"/>
        <w:spacing w:before="220"/>
        <w:ind w:firstLine="540"/>
        <w:jc w:val="both"/>
      </w:pPr>
      <w:r>
        <w:t xml:space="preserve">Использование в </w:t>
      </w:r>
      <w:hyperlink r:id="rId13" w:history="1">
        <w:r>
          <w:rPr>
            <w:color w:val="0000FF"/>
          </w:rPr>
          <w:t>формуле 18.2</w:t>
        </w:r>
      </w:hyperlink>
      <w:r>
        <w:t xml:space="preserve"> именно общего объема коммунального ресурса, затраченного на производство теплоэнергии как для целей отопления, так и на подогрев воды в целях ГВС, подтверждается также:</w:t>
      </w:r>
    </w:p>
    <w:p w14:paraId="3A798529" w14:textId="77777777" w:rsidR="005B44E6" w:rsidRDefault="005B44E6">
      <w:pPr>
        <w:pStyle w:val="ConsPlusNormal"/>
        <w:spacing w:before="220"/>
        <w:ind w:firstLine="540"/>
        <w:jc w:val="both"/>
      </w:pPr>
      <w:r>
        <w:lastRenderedPageBreak/>
        <w:t xml:space="preserve">1) В знаменателе </w:t>
      </w:r>
      <w:hyperlink r:id="rId14" w:history="1">
        <w:r>
          <w:rPr>
            <w:color w:val="0000FF"/>
          </w:rPr>
          <w:t>формулы 18.2</w:t>
        </w:r>
      </w:hyperlink>
      <w:r>
        <w:t xml:space="preserve"> применяется величина, определенная как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ГВС. То есть, при определении удельного расхода ресурса на производство одной гигакалории тепла используется общее количество тепла, расходуемое как на цели отопления, так и на цели ГВС.</w:t>
      </w:r>
    </w:p>
    <w:p w14:paraId="62F63A01" w14:textId="77777777" w:rsidR="005B44E6" w:rsidRDefault="005B44E6">
      <w:pPr>
        <w:pStyle w:val="ConsPlusNormal"/>
        <w:spacing w:before="220"/>
        <w:ind w:firstLine="540"/>
        <w:jc w:val="both"/>
      </w:pPr>
      <w:r>
        <w:t xml:space="preserve">2) </w:t>
      </w:r>
      <w:hyperlink r:id="rId15" w:history="1">
        <w:r>
          <w:rPr>
            <w:color w:val="0000FF"/>
          </w:rPr>
          <w:t>Формула 20.1</w:t>
        </w:r>
      </w:hyperlink>
      <w:r>
        <w:t xml:space="preserve">, утверждающая порядок расчета удельного расхода коммунального ресурса на подогрев воды в целях ГВС, аналогичная по своему смыслу </w:t>
      </w:r>
      <w:hyperlink r:id="rId16" w:history="1">
        <w:r>
          <w:rPr>
            <w:color w:val="0000FF"/>
          </w:rPr>
          <w:t>формуле 18.2</w:t>
        </w:r>
      </w:hyperlink>
      <w:r>
        <w:t xml:space="preserve">, прямо устанавливает, что в качестве величины </w:t>
      </w:r>
      <w:r w:rsidRPr="00966FE2">
        <w:rPr>
          <w:position w:val="-9"/>
        </w:rPr>
        <w:pict w14:anchorId="6523AE37">
          <v:shape id="_x0000_i1028" style="width:20.4pt;height:20.4pt" coordsize="" o:spt="100" adj="0,,0" path="" filled="f" stroked="f">
            <v:stroke joinstyle="miter"/>
            <v:imagedata r:id="rId8" o:title="base_1_338279_32771"/>
            <v:formulas/>
            <v:path o:connecttype="segments"/>
          </v:shape>
        </w:pict>
      </w:r>
      <w:r>
        <w:t xml:space="preserve"> применяется объем коммунального ресурса,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ГВС. Ссылка на </w:t>
      </w:r>
      <w:hyperlink r:id="rId17" w:history="1">
        <w:r>
          <w:rPr>
            <w:color w:val="0000FF"/>
          </w:rPr>
          <w:t>пункт 54</w:t>
        </w:r>
      </w:hyperlink>
      <w:r>
        <w:t xml:space="preserve"> Правил N 354 в определении </w:t>
      </w:r>
      <w:hyperlink r:id="rId18" w:history="1">
        <w:r>
          <w:rPr>
            <w:color w:val="0000FF"/>
          </w:rPr>
          <w:t>формулы 18.2</w:t>
        </w:r>
      </w:hyperlink>
      <w:r>
        <w:t xml:space="preserve"> устраняет противоречие между </w:t>
      </w:r>
      <w:hyperlink r:id="rId19" w:history="1">
        <w:r>
          <w:rPr>
            <w:color w:val="0000FF"/>
          </w:rPr>
          <w:t>формулами 18.2</w:t>
        </w:r>
      </w:hyperlink>
      <w:r>
        <w:t xml:space="preserve"> и </w:t>
      </w:r>
      <w:hyperlink r:id="rId20" w:history="1">
        <w:r>
          <w:rPr>
            <w:color w:val="0000FF"/>
          </w:rPr>
          <w:t>20.1</w:t>
        </w:r>
      </w:hyperlink>
      <w:r>
        <w:t xml:space="preserve">, и обязывает применять в качестве </w:t>
      </w:r>
      <w:r w:rsidRPr="00966FE2">
        <w:rPr>
          <w:position w:val="-9"/>
        </w:rPr>
        <w:pict w14:anchorId="24DF6533">
          <v:shape id="_x0000_i1029" style="width:20.4pt;height:20.4pt" coordsize="" o:spt="100" adj="0,,0" path="" filled="f" stroked="f">
            <v:stroke joinstyle="miter"/>
            <v:imagedata r:id="rId8" o:title="base_1_338279_32772"/>
            <v:formulas/>
            <v:path o:connecttype="segments"/>
          </v:shape>
        </w:pict>
      </w:r>
      <w:r>
        <w:t xml:space="preserve"> в </w:t>
      </w:r>
      <w:hyperlink r:id="rId21" w:history="1">
        <w:r>
          <w:rPr>
            <w:color w:val="0000FF"/>
          </w:rPr>
          <w:t>формуле 18.2</w:t>
        </w:r>
      </w:hyperlink>
      <w:r>
        <w:t xml:space="preserve"> объем коммунального ресурса, затраченный на производство тех услуг (отопление и/или ГВС), которые исполнитель фактически производит в доме.</w:t>
      </w:r>
    </w:p>
    <w:p w14:paraId="1B1C167A" w14:textId="77777777" w:rsidR="005B44E6" w:rsidRDefault="005B44E6">
      <w:pPr>
        <w:pStyle w:val="ConsPlusNormal"/>
        <w:spacing w:before="220"/>
        <w:ind w:firstLine="540"/>
        <w:jc w:val="both"/>
      </w:pPr>
      <w:r>
        <w:t xml:space="preserve">Таким образом, в </w:t>
      </w:r>
      <w:hyperlink r:id="rId22" w:history="1">
        <w:r>
          <w:rPr>
            <w:color w:val="0000FF"/>
          </w:rPr>
          <w:t>формуле 18.2</w:t>
        </w:r>
      </w:hyperlink>
      <w:r>
        <w:t xml:space="preserve">: </w:t>
      </w:r>
      <w:r w:rsidRPr="00966FE2">
        <w:rPr>
          <w:position w:val="-9"/>
        </w:rPr>
        <w:pict w14:anchorId="293A1A9D">
          <v:shape id="_x0000_i1030" style="width:20.4pt;height:20.4pt" coordsize="" o:spt="100" adj="0,,0" path="" filled="f" stroked="f">
            <v:stroke joinstyle="miter"/>
            <v:imagedata r:id="rId8" o:title="base_1_338279_32773"/>
            <v:formulas/>
            <v:path o:connecttype="segments"/>
          </v:shape>
        </w:pict>
      </w:r>
      <w:r>
        <w:t xml:space="preserve"> определяется по прибору учета, установленному на участке сети, подающем коммунальный ресурс к оборудованию для производства тепловой энергии, </w:t>
      </w:r>
      <w:r w:rsidRPr="00966FE2">
        <w:rPr>
          <w:position w:val="-8"/>
        </w:rPr>
        <w:pict w14:anchorId="351BBEA5">
          <v:shape id="_x0000_i1031" style="width:61.8pt;height:19.9pt" coordsize="" o:spt="100" adj="0,,0" path="" filled="f" stroked="f">
            <v:stroke joinstyle="miter"/>
            <v:imagedata r:id="rId23" o:title="base_1_338279_32774"/>
            <v:formulas/>
            <v:path o:connecttype="segments"/>
          </v:shape>
        </w:pict>
      </w:r>
      <w:r>
        <w:t xml:space="preserve"> определяется по ОДПУ.</w:t>
      </w:r>
    </w:p>
    <w:p w14:paraId="1F96FF31" w14:textId="77777777" w:rsidR="005B44E6" w:rsidRDefault="005B44E6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24" w:history="1">
        <w:r>
          <w:rPr>
            <w:color w:val="0000FF"/>
          </w:rPr>
          <w:t>пунктом 2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1009, письма федеральных органов исполнительной власти не являются нормативными правовыми актами.</w:t>
      </w:r>
    </w:p>
    <w:p w14:paraId="7EC8CF77" w14:textId="77777777" w:rsidR="005B44E6" w:rsidRDefault="005B44E6">
      <w:pPr>
        <w:pStyle w:val="ConsPlusNormal"/>
        <w:jc w:val="both"/>
      </w:pPr>
    </w:p>
    <w:p w14:paraId="78CC122C" w14:textId="77777777" w:rsidR="005B44E6" w:rsidRDefault="005B44E6">
      <w:pPr>
        <w:pStyle w:val="ConsPlusNormal"/>
        <w:jc w:val="right"/>
      </w:pPr>
      <w:r>
        <w:t>Директор департамента развития</w:t>
      </w:r>
    </w:p>
    <w:p w14:paraId="47E20B42" w14:textId="77777777" w:rsidR="005B44E6" w:rsidRDefault="005B44E6">
      <w:pPr>
        <w:pStyle w:val="ConsPlusNormal"/>
        <w:jc w:val="right"/>
      </w:pPr>
      <w:r>
        <w:t>жилищно-коммунального хозяйства</w:t>
      </w:r>
    </w:p>
    <w:p w14:paraId="45D6C4C2" w14:textId="77777777" w:rsidR="005B44E6" w:rsidRDefault="005B44E6">
      <w:pPr>
        <w:pStyle w:val="ConsPlusNormal"/>
        <w:jc w:val="right"/>
      </w:pPr>
      <w:r>
        <w:t>С.В.НИКОНОВА</w:t>
      </w:r>
    </w:p>
    <w:p w14:paraId="5B4721E3" w14:textId="77777777" w:rsidR="005B44E6" w:rsidRDefault="005B44E6">
      <w:pPr>
        <w:pStyle w:val="ConsPlusNormal"/>
        <w:jc w:val="both"/>
      </w:pPr>
    </w:p>
    <w:p w14:paraId="52EBF262" w14:textId="77777777" w:rsidR="005B44E6" w:rsidRDefault="005B44E6">
      <w:pPr>
        <w:pStyle w:val="ConsPlusNormal"/>
        <w:jc w:val="both"/>
      </w:pPr>
    </w:p>
    <w:p w14:paraId="40BE692D" w14:textId="77777777" w:rsidR="005B44E6" w:rsidRDefault="005B44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A1E32A2" w14:textId="77777777" w:rsidR="006A5C72" w:rsidRDefault="006A5C72"/>
    <w:sectPr w:rsidR="006A5C72" w:rsidSect="00FA6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4E6"/>
    <w:rsid w:val="005B44E6"/>
    <w:rsid w:val="006A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ABB79"/>
  <w15:chartTrackingRefBased/>
  <w15:docId w15:val="{84CFE941-4075-4FC1-ACC7-DE0D73DD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4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44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4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241DD242660FC47E85AD182736EC7397B9CF4894514D1F2B5DC3CD52F2D540AA16EBBDB3E9330D2B276822D83FE3895102D168123C5EB463CFM8O" TargetMode="External"/><Relationship Id="rId18" Type="http://schemas.openxmlformats.org/officeDocument/2006/relationships/hyperlink" Target="consultantplus://offline/ref=241DD242660FC47E85AD182736EC7397B9CF4894514D1F2B5DC3CD52F2D540AA16EBBDB3E9330D2B276822D83FE3895102D168123C5EB463CFM8O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41DD242660FC47E85AD182736EC7397B9CF4894514D1F2B5DC3CD52F2D540AA16EBBDB3E9330D2B276822D83FE3895102D168123C5EB463CFM8O" TargetMode="External"/><Relationship Id="rId7" Type="http://schemas.openxmlformats.org/officeDocument/2006/relationships/hyperlink" Target="consultantplus://offline/ref=241DD242660FC47E85AD182736EC7397B9CF4894514D1F2B5DC3CD52F2D540AA16EBBDB3E9330D2B276822D83FE3895102D168123C5EB463CFM8O" TargetMode="External"/><Relationship Id="rId12" Type="http://schemas.openxmlformats.org/officeDocument/2006/relationships/hyperlink" Target="consultantplus://offline/ref=241DD242660FC47E85AD182736EC7397B9CF4894514D1F2B5DC3CD52F2D540AA16EBBDB3E9330D2B276822D83FE3895102D168123C5EB463CFM8O" TargetMode="External"/><Relationship Id="rId17" Type="http://schemas.openxmlformats.org/officeDocument/2006/relationships/hyperlink" Target="consultantplus://offline/ref=241DD242660FC47E85AD182736EC7397B9CF4894514D1F2B5DC3CD52F2D540AA16EBBDB3E9320726266822D83FE3895102D168123C5EB463CFM8O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41DD242660FC47E85AD182736EC7397B9CF4894514D1F2B5DC3CD52F2D540AA16EBBDB3E9330D2B276822D83FE3895102D168123C5EB463CFM8O" TargetMode="External"/><Relationship Id="rId20" Type="http://schemas.openxmlformats.org/officeDocument/2006/relationships/hyperlink" Target="consultantplus://offline/ref=241DD242660FC47E85AD182736EC7397B9CF4894514D1F2B5DC3CD52F2D540AA16EBBDB3E9320725216822D83FE3895102D168123C5EB463CFM8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41DD242660FC47E85AD182736EC7397B9CF4894514D1F2B5DC3CD52F2D540AA16EBBDB3E9330D2B276822D83FE3895102D168123C5EB463CFM8O" TargetMode="External"/><Relationship Id="rId11" Type="http://schemas.openxmlformats.org/officeDocument/2006/relationships/hyperlink" Target="consultantplus://offline/ref=241DD242660FC47E85AD182736EC7397B9CF4894514D1F2B5DC3CD52F2D540AA16EBBDB3E9320726266822D83FE3895102D168123C5EB463CFM8O" TargetMode="External"/><Relationship Id="rId24" Type="http://schemas.openxmlformats.org/officeDocument/2006/relationships/hyperlink" Target="consultantplus://offline/ref=241DD242660FC47E85AD182736EC7397B9C9499B594C1F2B5DC3CD52F2D540AA16EBBDBBE1395A7360367B8872A8845515CD6815C2M2O" TargetMode="External"/><Relationship Id="rId5" Type="http://schemas.openxmlformats.org/officeDocument/2006/relationships/hyperlink" Target="consultantplus://offline/ref=241DD242660FC47E85AD182736EC7397B9CF4894514D1F2B5DC3CD52F2D540AA16EBBDB3E9330D2B246822D83FE3895102D168123C5EB463CFM8O" TargetMode="External"/><Relationship Id="rId15" Type="http://schemas.openxmlformats.org/officeDocument/2006/relationships/hyperlink" Target="consultantplus://offline/ref=241DD242660FC47E85AD182736EC7397B9CF4894514D1F2B5DC3CD52F2D540AA16EBBDB3E9320725216822D83FE3895102D168123C5EB463CFM8O" TargetMode="External"/><Relationship Id="rId23" Type="http://schemas.openxmlformats.org/officeDocument/2006/relationships/image" Target="media/image2.wmf"/><Relationship Id="rId10" Type="http://schemas.openxmlformats.org/officeDocument/2006/relationships/hyperlink" Target="consultantplus://offline/ref=241DD242660FC47E85AD182736EC7397B9CF4894514D1F2B5DC3CD52F2D540AA16EBBDB3E9320726266822D83FE3895102D168123C5EB463CFM8O" TargetMode="External"/><Relationship Id="rId19" Type="http://schemas.openxmlformats.org/officeDocument/2006/relationships/hyperlink" Target="consultantplus://offline/ref=241DD242660FC47E85AD182736EC7397B9CF4894514D1F2B5DC3CD52F2D540AA16EBBDB3E9330D2B276822D83FE3895102D168123C5EB463CFM8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41DD242660FC47E85AD182736EC7397B9CF4894514D1F2B5DC3CD52F2D540AA16EBBDB3E9330D2B276822D83FE3895102D168123C5EB463CFM8O" TargetMode="External"/><Relationship Id="rId14" Type="http://schemas.openxmlformats.org/officeDocument/2006/relationships/hyperlink" Target="consultantplus://offline/ref=241DD242660FC47E85AD182736EC7397B9CF4894514D1F2B5DC3CD52F2D540AA16EBBDB3E9330D2B276822D83FE3895102D168123C5EB463CFM8O" TargetMode="External"/><Relationship Id="rId22" Type="http://schemas.openxmlformats.org/officeDocument/2006/relationships/hyperlink" Target="consultantplus://offline/ref=241DD242660FC47E85AD182736EC7397B9CF4894514D1F2B5DC3CD52F2D540AA16EBBDB3E9330D2B276822D83FE3895102D168123C5EB463CFM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1184</Words>
  <Characters>6753</Characters>
  <Application>Microsoft Office Word</Application>
  <DocSecurity>0</DocSecurity>
  <Lines>56</Lines>
  <Paragraphs>15</Paragraphs>
  <ScaleCrop>false</ScaleCrop>
  <Company/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Кочетков</dc:creator>
  <cp:keywords/>
  <dc:description/>
  <cp:lastModifiedBy>Юрий Кочетков</cp:lastModifiedBy>
  <cp:revision>1</cp:revision>
  <dcterms:created xsi:type="dcterms:W3CDTF">2020-05-19T14:12:00Z</dcterms:created>
  <dcterms:modified xsi:type="dcterms:W3CDTF">2020-05-19T14:12:00Z</dcterms:modified>
</cp:coreProperties>
</file>